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23" w:rsidRPr="00B77223" w:rsidRDefault="00E80DB0" w:rsidP="00E80DB0">
      <w:pPr>
        <w:spacing w:after="0" w:line="260" w:lineRule="exact"/>
        <w:ind w:left="1740"/>
        <w:jc w:val="right"/>
        <w:rPr>
          <w:rStyle w:val="31"/>
          <w:rFonts w:eastAsiaTheme="majorEastAsia"/>
          <w:b w:val="0"/>
          <w:i w:val="0"/>
          <w:sz w:val="20"/>
          <w:szCs w:val="20"/>
        </w:rPr>
      </w:pPr>
      <w:r w:rsidRPr="00B77223">
        <w:rPr>
          <w:rStyle w:val="31"/>
          <w:rFonts w:eastAsiaTheme="majorEastAsia"/>
          <w:b w:val="0"/>
          <w:i w:val="0"/>
          <w:sz w:val="20"/>
          <w:szCs w:val="20"/>
        </w:rPr>
        <w:t>Приложение</w:t>
      </w:r>
    </w:p>
    <w:p w:rsidR="00B77223" w:rsidRPr="00B77223" w:rsidRDefault="00E80DB0" w:rsidP="00E80DB0">
      <w:pPr>
        <w:spacing w:after="0" w:line="260" w:lineRule="exact"/>
        <w:ind w:left="1740"/>
        <w:jc w:val="right"/>
        <w:rPr>
          <w:rStyle w:val="31"/>
          <w:rFonts w:eastAsiaTheme="majorEastAsia"/>
          <w:b w:val="0"/>
          <w:i w:val="0"/>
          <w:sz w:val="20"/>
          <w:szCs w:val="20"/>
        </w:rPr>
      </w:pPr>
      <w:r w:rsidRPr="00B77223">
        <w:rPr>
          <w:rStyle w:val="31"/>
          <w:rFonts w:eastAsiaTheme="majorEastAsia"/>
          <w:b w:val="0"/>
          <w:i w:val="0"/>
          <w:sz w:val="20"/>
          <w:szCs w:val="20"/>
        </w:rPr>
        <w:t xml:space="preserve"> к постановлению администрации муниципального образования «Беломорский муниципальный район»</w:t>
      </w:r>
    </w:p>
    <w:p w:rsidR="00E80DB0" w:rsidRPr="00B77223" w:rsidRDefault="00E80DB0" w:rsidP="00E80DB0">
      <w:pPr>
        <w:spacing w:after="0" w:line="260" w:lineRule="exact"/>
        <w:ind w:left="1740"/>
        <w:jc w:val="right"/>
        <w:rPr>
          <w:rStyle w:val="31"/>
          <w:rFonts w:eastAsiaTheme="majorEastAsia"/>
          <w:b w:val="0"/>
          <w:i w:val="0"/>
          <w:sz w:val="20"/>
          <w:szCs w:val="20"/>
        </w:rPr>
      </w:pPr>
      <w:r w:rsidRPr="00B77223">
        <w:rPr>
          <w:rStyle w:val="31"/>
          <w:rFonts w:eastAsiaTheme="majorEastAsia"/>
          <w:b w:val="0"/>
          <w:i w:val="0"/>
          <w:sz w:val="20"/>
          <w:szCs w:val="20"/>
        </w:rPr>
        <w:t xml:space="preserve"> от</w:t>
      </w:r>
      <w:r w:rsidR="00B77223" w:rsidRPr="00B77223">
        <w:rPr>
          <w:rStyle w:val="31"/>
          <w:rFonts w:eastAsiaTheme="majorEastAsia"/>
          <w:b w:val="0"/>
          <w:i w:val="0"/>
          <w:sz w:val="20"/>
          <w:szCs w:val="20"/>
        </w:rPr>
        <w:t xml:space="preserve"> 16 ноября 2020 г</w:t>
      </w:r>
      <w:r w:rsidRPr="00B77223">
        <w:rPr>
          <w:rStyle w:val="31"/>
          <w:rFonts w:eastAsiaTheme="majorEastAsia"/>
          <w:b w:val="0"/>
          <w:i w:val="0"/>
          <w:sz w:val="20"/>
          <w:szCs w:val="20"/>
        </w:rPr>
        <w:t xml:space="preserve">  №</w:t>
      </w:r>
      <w:r w:rsidR="00B77223" w:rsidRPr="00B77223">
        <w:rPr>
          <w:rStyle w:val="31"/>
          <w:rFonts w:eastAsiaTheme="majorEastAsia"/>
          <w:b w:val="0"/>
          <w:i w:val="0"/>
          <w:sz w:val="20"/>
          <w:szCs w:val="20"/>
        </w:rPr>
        <w:t xml:space="preserve"> 1270</w:t>
      </w:r>
    </w:p>
    <w:p w:rsidR="00E80DB0" w:rsidRDefault="00E80DB0" w:rsidP="00E80DB0">
      <w:pPr>
        <w:spacing w:after="0" w:line="260" w:lineRule="exact"/>
        <w:ind w:left="1740"/>
        <w:jc w:val="right"/>
        <w:rPr>
          <w:rStyle w:val="31"/>
          <w:rFonts w:eastAsiaTheme="majorEastAsia"/>
          <w:b w:val="0"/>
          <w:i w:val="0"/>
          <w:sz w:val="24"/>
          <w:szCs w:val="24"/>
        </w:rPr>
      </w:pPr>
    </w:p>
    <w:p w:rsidR="00E80DB0" w:rsidRDefault="00C56CE2" w:rsidP="00E80DB0">
      <w:pPr>
        <w:spacing w:after="0" w:line="260" w:lineRule="exact"/>
        <w:ind w:left="1740"/>
        <w:jc w:val="right"/>
        <w:rPr>
          <w:rStyle w:val="31"/>
          <w:rFonts w:eastAsiaTheme="majorEastAsia"/>
          <w:i w:val="0"/>
          <w:sz w:val="20"/>
          <w:szCs w:val="20"/>
        </w:rPr>
      </w:pPr>
      <w:r>
        <w:rPr>
          <w:rStyle w:val="31"/>
          <w:rFonts w:eastAsiaTheme="majorEastAsia"/>
          <w:i w:val="0"/>
          <w:sz w:val="20"/>
          <w:szCs w:val="20"/>
        </w:rPr>
        <w:t>«</w:t>
      </w:r>
      <w:r w:rsidR="00E80DB0" w:rsidRPr="00E80DB0">
        <w:rPr>
          <w:rStyle w:val="31"/>
          <w:rFonts w:eastAsiaTheme="majorEastAsia"/>
          <w:i w:val="0"/>
          <w:sz w:val="20"/>
          <w:szCs w:val="20"/>
        </w:rPr>
        <w:t>Пр</w:t>
      </w:r>
      <w:r w:rsidR="00E80DB0">
        <w:rPr>
          <w:rStyle w:val="31"/>
          <w:rFonts w:eastAsiaTheme="majorEastAsia"/>
          <w:i w:val="0"/>
          <w:sz w:val="20"/>
          <w:szCs w:val="20"/>
        </w:rPr>
        <w:t>иложение 2 к постановлению администрации муниципального образования «Беломорский муниципальный район»</w:t>
      </w:r>
    </w:p>
    <w:p w:rsidR="00E80DB0" w:rsidRPr="00E80DB0" w:rsidRDefault="00E80DB0" w:rsidP="00E80DB0">
      <w:pPr>
        <w:spacing w:after="0" w:line="260" w:lineRule="exact"/>
        <w:ind w:left="1740"/>
        <w:jc w:val="right"/>
        <w:rPr>
          <w:rStyle w:val="31"/>
          <w:rFonts w:eastAsiaTheme="majorEastAsia"/>
          <w:i w:val="0"/>
          <w:sz w:val="20"/>
          <w:szCs w:val="20"/>
        </w:rPr>
      </w:pPr>
      <w:r>
        <w:rPr>
          <w:rStyle w:val="31"/>
          <w:rFonts w:eastAsiaTheme="majorEastAsia"/>
          <w:i w:val="0"/>
          <w:sz w:val="20"/>
          <w:szCs w:val="20"/>
        </w:rPr>
        <w:t xml:space="preserve">от 21 ноября 2018 года №936 </w:t>
      </w:r>
    </w:p>
    <w:p w:rsidR="005B184A" w:rsidRDefault="00B500DD" w:rsidP="00704608">
      <w:pPr>
        <w:spacing w:after="0" w:line="260" w:lineRule="exact"/>
        <w:ind w:left="174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80DB0">
        <w:rPr>
          <w:rStyle w:val="31"/>
          <w:rFonts w:eastAsiaTheme="majorEastAsia"/>
          <w:i w:val="0"/>
          <w:sz w:val="24"/>
          <w:szCs w:val="24"/>
        </w:rPr>
        <w:t>Показатели</w:t>
      </w:r>
      <w:r w:rsidR="00704608" w:rsidRPr="00E80DB0">
        <w:rPr>
          <w:rStyle w:val="31"/>
          <w:rFonts w:eastAsiaTheme="majorEastAsia"/>
          <w:i w:val="0"/>
          <w:sz w:val="24"/>
          <w:szCs w:val="24"/>
        </w:rPr>
        <w:t xml:space="preserve"> эффективности деятельности руководителей </w:t>
      </w:r>
      <w:r w:rsidR="00704608" w:rsidRPr="00E80DB0">
        <w:rPr>
          <w:rStyle w:val="31"/>
          <w:rFonts w:eastAsiaTheme="majorEastAsia"/>
          <w:bCs w:val="0"/>
          <w:i w:val="0"/>
          <w:sz w:val="24"/>
          <w:szCs w:val="24"/>
        </w:rPr>
        <w:t xml:space="preserve">муниципальных </w:t>
      </w:r>
      <w:r w:rsidR="00704608" w:rsidRPr="00E80DB0">
        <w:rPr>
          <w:rStyle w:val="31"/>
          <w:rFonts w:eastAsiaTheme="majorEastAsia"/>
          <w:i w:val="0"/>
          <w:sz w:val="24"/>
          <w:szCs w:val="24"/>
        </w:rPr>
        <w:t xml:space="preserve">общеобразовательных </w:t>
      </w:r>
      <w:r w:rsidRPr="00E80DB0">
        <w:rPr>
          <w:rStyle w:val="31"/>
          <w:rFonts w:eastAsiaTheme="majorEastAsia"/>
          <w:i w:val="0"/>
          <w:sz w:val="24"/>
          <w:szCs w:val="24"/>
        </w:rPr>
        <w:t>учреждений</w:t>
      </w:r>
      <w:r w:rsidR="00704608" w:rsidRPr="00E80D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04608" w:rsidRPr="00E80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Беломорского муниципального район</w:t>
      </w:r>
      <w:r w:rsidR="00704608" w:rsidRPr="0070460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</w:t>
      </w:r>
    </w:p>
    <w:p w:rsidR="00704608" w:rsidRPr="00704608" w:rsidRDefault="00704608" w:rsidP="00704608">
      <w:pPr>
        <w:spacing w:after="0" w:line="260" w:lineRule="exact"/>
        <w:ind w:left="174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675"/>
        <w:gridCol w:w="2268"/>
        <w:gridCol w:w="5670"/>
        <w:gridCol w:w="3261"/>
        <w:gridCol w:w="2912"/>
      </w:tblGrid>
      <w:tr w:rsidR="000841E9" w:rsidTr="000841E9">
        <w:tc>
          <w:tcPr>
            <w:tcW w:w="675" w:type="dxa"/>
          </w:tcPr>
          <w:p w:rsidR="000841E9" w:rsidRPr="009F1DEE" w:rsidRDefault="000841E9" w:rsidP="000841E9">
            <w:pPr>
              <w:pStyle w:val="24"/>
              <w:shd w:val="clear" w:color="auto" w:fill="auto"/>
              <w:spacing w:before="0" w:line="260" w:lineRule="exact"/>
              <w:rPr>
                <w:rStyle w:val="213pt"/>
                <w:rFonts w:eastAsiaTheme="majorEastAsia"/>
                <w:sz w:val="24"/>
                <w:szCs w:val="24"/>
              </w:rPr>
            </w:pPr>
            <w:r>
              <w:rPr>
                <w:rStyle w:val="213pt"/>
                <w:rFonts w:eastAsia="Arial"/>
                <w:sz w:val="24"/>
                <w:szCs w:val="24"/>
              </w:rPr>
              <w:t xml:space="preserve"> </w:t>
            </w:r>
            <w:r w:rsidRPr="009F1DEE">
              <w:rPr>
                <w:rStyle w:val="213pt"/>
                <w:rFonts w:eastAsia="Arial"/>
                <w:sz w:val="24"/>
                <w:szCs w:val="24"/>
              </w:rPr>
              <w:t>№</w:t>
            </w:r>
          </w:p>
          <w:p w:rsidR="000841E9" w:rsidRPr="009F1DEE" w:rsidRDefault="000841E9" w:rsidP="000841E9">
            <w:pPr>
              <w:pStyle w:val="24"/>
              <w:shd w:val="clear" w:color="auto" w:fill="auto"/>
              <w:spacing w:before="0" w:line="260" w:lineRule="exact"/>
              <w:rPr>
                <w:sz w:val="24"/>
                <w:szCs w:val="24"/>
              </w:rPr>
            </w:pPr>
            <w:r w:rsidRPr="009F1DEE">
              <w:rPr>
                <w:rStyle w:val="213pt"/>
                <w:rFonts w:eastAsiaTheme="majorEastAsia"/>
                <w:sz w:val="24"/>
                <w:szCs w:val="24"/>
              </w:rPr>
              <w:t>п/п</w:t>
            </w:r>
          </w:p>
        </w:tc>
        <w:tc>
          <w:tcPr>
            <w:tcW w:w="7938" w:type="dxa"/>
            <w:gridSpan w:val="2"/>
          </w:tcPr>
          <w:p w:rsidR="000841E9" w:rsidRPr="009F1DEE" w:rsidRDefault="000841E9" w:rsidP="00F85006">
            <w:pPr>
              <w:pStyle w:val="24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9F1DEE">
              <w:rPr>
                <w:rStyle w:val="213pt"/>
                <w:rFonts w:eastAsia="Arial"/>
                <w:sz w:val="24"/>
                <w:szCs w:val="24"/>
              </w:rPr>
              <w:t>Показатели</w:t>
            </w:r>
          </w:p>
        </w:tc>
        <w:tc>
          <w:tcPr>
            <w:tcW w:w="3261" w:type="dxa"/>
          </w:tcPr>
          <w:p w:rsidR="000841E9" w:rsidRPr="009F1DEE" w:rsidRDefault="000841E9" w:rsidP="00F85006">
            <w:pPr>
              <w:pStyle w:val="24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9F1DEE">
              <w:rPr>
                <w:rStyle w:val="213pt"/>
                <w:rFonts w:eastAsia="Arial"/>
                <w:sz w:val="24"/>
                <w:szCs w:val="24"/>
              </w:rPr>
              <w:t>Источник информации</w:t>
            </w:r>
          </w:p>
        </w:tc>
        <w:tc>
          <w:tcPr>
            <w:tcW w:w="2912" w:type="dxa"/>
          </w:tcPr>
          <w:p w:rsidR="000841E9" w:rsidRPr="009F1DEE" w:rsidRDefault="000841E9" w:rsidP="00F85006">
            <w:pPr>
              <w:pStyle w:val="24"/>
              <w:shd w:val="clear" w:color="auto" w:fill="auto"/>
              <w:spacing w:before="0" w:line="260" w:lineRule="exact"/>
              <w:ind w:left="240"/>
              <w:jc w:val="center"/>
              <w:rPr>
                <w:sz w:val="24"/>
                <w:szCs w:val="24"/>
              </w:rPr>
            </w:pPr>
            <w:r w:rsidRPr="009F1DEE">
              <w:rPr>
                <w:rStyle w:val="213pt"/>
                <w:rFonts w:eastAsia="Arial"/>
                <w:sz w:val="24"/>
                <w:szCs w:val="24"/>
              </w:rPr>
              <w:t>Значение</w:t>
            </w:r>
            <w:r w:rsidRPr="009F1DEE">
              <w:rPr>
                <w:rStyle w:val="213pt"/>
                <w:rFonts w:eastAsiaTheme="majorEastAsia"/>
                <w:sz w:val="24"/>
                <w:szCs w:val="24"/>
              </w:rPr>
              <w:t xml:space="preserve"> показателя, количество баллов</w:t>
            </w:r>
          </w:p>
        </w:tc>
      </w:tr>
      <w:tr w:rsidR="005B184A" w:rsidTr="000841E9">
        <w:tc>
          <w:tcPr>
            <w:tcW w:w="675" w:type="dxa"/>
            <w:vAlign w:val="center"/>
          </w:tcPr>
          <w:p w:rsidR="005B184A" w:rsidRPr="001C6383" w:rsidRDefault="005B184A" w:rsidP="00F85006">
            <w:pPr>
              <w:pStyle w:val="24"/>
              <w:shd w:val="clear" w:color="auto" w:fill="auto"/>
              <w:spacing w:before="0" w:line="380" w:lineRule="exact"/>
              <w:jc w:val="center"/>
              <w:rPr>
                <w:sz w:val="24"/>
                <w:szCs w:val="24"/>
              </w:rPr>
            </w:pPr>
            <w:r w:rsidRPr="001C6383">
              <w:rPr>
                <w:rStyle w:val="2CordiaUPC1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B184A" w:rsidRPr="001C6383" w:rsidRDefault="005B184A" w:rsidP="00F85006">
            <w:pPr>
              <w:pStyle w:val="24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5B184A" w:rsidRPr="001C6383" w:rsidRDefault="005B184A" w:rsidP="00F85006">
            <w:pPr>
              <w:pStyle w:val="24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5B184A" w:rsidRPr="001C6383" w:rsidRDefault="005B184A" w:rsidP="00F85006">
            <w:pPr>
              <w:pStyle w:val="24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vAlign w:val="center"/>
          </w:tcPr>
          <w:p w:rsidR="005B184A" w:rsidRPr="001C6383" w:rsidRDefault="005B184A" w:rsidP="00F85006">
            <w:pPr>
              <w:pStyle w:val="24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5</w:t>
            </w:r>
          </w:p>
        </w:tc>
      </w:tr>
      <w:tr w:rsidR="005B184A" w:rsidTr="000841E9">
        <w:tc>
          <w:tcPr>
            <w:tcW w:w="675" w:type="dxa"/>
            <w:vMerge w:val="restart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CordiaUPC1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1C6383">
              <w:rPr>
                <w:rStyle w:val="2CordiaUPC20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По базовой подготовке обучающихся</w:t>
            </w:r>
          </w:p>
        </w:tc>
        <w:tc>
          <w:tcPr>
            <w:tcW w:w="5670" w:type="dxa"/>
            <w:vAlign w:val="bottom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Доля выпускников 9-х классов, получивших аттестат об основном общем образовании</w:t>
            </w:r>
          </w:p>
        </w:tc>
        <w:tc>
          <w:tcPr>
            <w:tcW w:w="3261" w:type="dxa"/>
            <w:vMerge w:val="restart"/>
            <w:vAlign w:val="bottom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региональная база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Республики Карелия</w:t>
            </w:r>
          </w:p>
        </w:tc>
        <w:tc>
          <w:tcPr>
            <w:tcW w:w="2912" w:type="dxa"/>
            <w:vAlign w:val="bottom"/>
          </w:tcPr>
          <w:p w:rsid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100</w:t>
            </w:r>
            <w:r w:rsidRPr="00C00EB8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C00EB8">
              <w:rPr>
                <w:rStyle w:val="295pt"/>
                <w:b w:val="0"/>
                <w:i w:val="0"/>
                <w:sz w:val="24"/>
                <w:szCs w:val="24"/>
              </w:rPr>
              <w:t>%</w:t>
            </w:r>
            <w:r w:rsidRPr="00C00EB8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- 1 балл 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менее 100 </w:t>
            </w:r>
            <w:r w:rsidRPr="00C00EB8">
              <w:rPr>
                <w:rStyle w:val="295pt"/>
                <w:b w:val="0"/>
                <w:i w:val="0"/>
                <w:sz w:val="24"/>
                <w:szCs w:val="24"/>
              </w:rPr>
              <w:t xml:space="preserve">% </w:t>
            </w:r>
            <w:r w:rsidRPr="001C6383">
              <w:rPr>
                <w:rStyle w:val="295pt"/>
                <w:b w:val="0"/>
                <w:sz w:val="24"/>
                <w:szCs w:val="24"/>
              </w:rPr>
              <w:t>-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0 баллов</w:t>
            </w:r>
          </w:p>
        </w:tc>
      </w:tr>
      <w:tr w:rsidR="005B184A" w:rsidTr="000841E9">
        <w:tc>
          <w:tcPr>
            <w:tcW w:w="675" w:type="dxa"/>
            <w:vMerge/>
          </w:tcPr>
          <w:p w:rsidR="005B184A" w:rsidRPr="001C6383" w:rsidRDefault="005B184A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184A" w:rsidRPr="001C6383" w:rsidRDefault="005B184A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 Доля выпускников 11-х классов, получивших аттестат о среднем общем образовании</w:t>
            </w:r>
          </w:p>
        </w:tc>
        <w:tc>
          <w:tcPr>
            <w:tcW w:w="3261" w:type="dxa"/>
            <w:vMerge/>
            <w:vAlign w:val="bottom"/>
          </w:tcPr>
          <w:p w:rsidR="005B184A" w:rsidRPr="005B184A" w:rsidRDefault="005B184A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</w:tcPr>
          <w:p w:rsid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100 </w:t>
            </w:r>
            <w:r w:rsidRPr="00C00EB8">
              <w:rPr>
                <w:rStyle w:val="295pt"/>
                <w:b w:val="0"/>
                <w:i w:val="0"/>
                <w:sz w:val="24"/>
                <w:szCs w:val="24"/>
              </w:rPr>
              <w:t>%</w:t>
            </w:r>
            <w:r w:rsidRPr="00C00EB8">
              <w:rPr>
                <w:rStyle w:val="213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- 1 балл 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менее 100 % - 0 баллов</w:t>
            </w:r>
          </w:p>
        </w:tc>
      </w:tr>
      <w:tr w:rsidR="00704608" w:rsidRPr="00B77223" w:rsidTr="000841E9">
        <w:tc>
          <w:tcPr>
            <w:tcW w:w="675" w:type="dxa"/>
            <w:vMerge w:val="restart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По подготовке высокого уровня обучающихся</w:t>
            </w: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Доля обучающихся - участников муниципального, регионального, заключительного этапа всероссийской олимпиады школьников</w:t>
            </w:r>
          </w:p>
        </w:tc>
        <w:tc>
          <w:tcPr>
            <w:tcW w:w="3261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отчет органов местного самоуправления, осуществляющих управление в сфере образования, данные образовательной организации</w:t>
            </w:r>
          </w:p>
        </w:tc>
        <w:tc>
          <w:tcPr>
            <w:tcW w:w="2912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 1 % до 4 % - 1 балл</w:t>
            </w:r>
          </w:p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от 5 % до 9 % - 2 балла </w:t>
            </w: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от 10 % до 29 </w:t>
            </w:r>
            <w:r w:rsidRPr="001635E0">
              <w:rPr>
                <w:rStyle w:val="295pt"/>
                <w:b w:val="0"/>
                <w:i w:val="0"/>
                <w:sz w:val="24"/>
                <w:szCs w:val="24"/>
              </w:rPr>
              <w:t>%</w:t>
            </w:r>
            <w:r w:rsidRPr="001C6383">
              <w:rPr>
                <w:rStyle w:val="295pt"/>
                <w:b w:val="0"/>
                <w:sz w:val="24"/>
                <w:szCs w:val="24"/>
              </w:rPr>
              <w:t xml:space="preserve"> -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3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балла </w:t>
            </w:r>
          </w:p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от 30 % и более 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>– 4 балла</w:t>
            </w:r>
          </w:p>
        </w:tc>
      </w:tr>
      <w:tr w:rsidR="00704608" w:rsidRPr="00B77223" w:rsidTr="000841E9">
        <w:tc>
          <w:tcPr>
            <w:tcW w:w="675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 Доля обучающихся, принявших участие в творческих мероприятиях (конкурсах, олимпиадах, соревнованиях, конференциях муниципального, регионального, межрегионального, федерального и международного уровней)</w:t>
            </w:r>
          </w:p>
        </w:tc>
        <w:tc>
          <w:tcPr>
            <w:tcW w:w="3261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Fonts w:eastAsia="Arial"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отчет органов местного самоуправления, осуществляющих управление в сфере образования, данные образовательной организации, региональные и федеральные базы данных</w:t>
            </w:r>
          </w:p>
        </w:tc>
        <w:tc>
          <w:tcPr>
            <w:tcW w:w="2912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от 1 % до 4 </w:t>
            </w:r>
            <w:r w:rsidRPr="001635E0">
              <w:rPr>
                <w:rStyle w:val="295pt"/>
                <w:b w:val="0"/>
                <w:i w:val="0"/>
                <w:sz w:val="24"/>
                <w:szCs w:val="24"/>
              </w:rPr>
              <w:t xml:space="preserve">% </w:t>
            </w:r>
            <w:r w:rsidRPr="001C6383">
              <w:rPr>
                <w:rStyle w:val="295pt"/>
                <w:b w:val="0"/>
                <w:sz w:val="24"/>
                <w:szCs w:val="24"/>
              </w:rPr>
              <w:t>-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1 балл</w:t>
            </w:r>
          </w:p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 5 % до 9 % - 2 балла</w:t>
            </w:r>
          </w:p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от 10 % до 29 </w:t>
            </w:r>
            <w:r w:rsidRPr="001635E0">
              <w:rPr>
                <w:rStyle w:val="295pt"/>
                <w:b w:val="0"/>
                <w:i w:val="0"/>
                <w:sz w:val="24"/>
                <w:szCs w:val="24"/>
              </w:rPr>
              <w:t>%</w:t>
            </w:r>
            <w:r w:rsidRPr="001C6383">
              <w:rPr>
                <w:rStyle w:val="295pt"/>
                <w:b w:val="0"/>
                <w:sz w:val="24"/>
                <w:szCs w:val="24"/>
              </w:rPr>
              <w:t xml:space="preserve"> -</w:t>
            </w:r>
            <w:r>
              <w:rPr>
                <w:rStyle w:val="295pt"/>
                <w:b w:val="0"/>
                <w:sz w:val="24"/>
                <w:szCs w:val="24"/>
              </w:rPr>
              <w:t xml:space="preserve"> 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3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балла</w:t>
            </w:r>
          </w:p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 30 % и более -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4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балла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3. Наличие обучающихся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победителей мероприятий (конкурсов, олимпиад, соревнований, конференций муниципального, регионального,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межрегионального, федерального и международного уровней)</w:t>
            </w: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 xml:space="preserve">отчет органов местного самоуправления, осуществляющих управление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в сфере образования, данные образовательной организации, региональные и федеральные базы данных</w:t>
            </w:r>
          </w:p>
        </w:tc>
        <w:tc>
          <w:tcPr>
            <w:tcW w:w="2912" w:type="dxa"/>
            <w:tcBorders>
              <w:top w:val="nil"/>
            </w:tcBorders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4. Организация и проведение (участие в организации и проведении) мероприятий муниципального, регионального, межрегионального, федерального, международного уровней на базе образовательного учреждения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5B184A" w:rsidTr="000841E9">
        <w:tc>
          <w:tcPr>
            <w:tcW w:w="675" w:type="dxa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Создание условий и организации получения</w:t>
            </w:r>
          </w:p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образования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обучающимися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с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ОВЗ</w:t>
            </w:r>
          </w:p>
        </w:tc>
        <w:tc>
          <w:tcPr>
            <w:tcW w:w="5670" w:type="dxa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Доля обучающихся с ограниченными возможностями здоровья (далее - ОВЗ), с инвалидностью, которым созданы специальные образовательные условия в соответствии с рекомендациями психолого</w:t>
            </w:r>
            <w:r>
              <w:rPr>
                <w:rStyle w:val="213pt"/>
                <w:rFonts w:eastAsiaTheme="majorEastAsia"/>
                <w:b w:val="0"/>
                <w:sz w:val="24"/>
                <w:szCs w:val="24"/>
              </w:rPr>
              <w:t>-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медико</w:t>
            </w:r>
            <w:r>
              <w:rPr>
                <w:rStyle w:val="213pt"/>
                <w:rFonts w:eastAsiaTheme="majorEastAsia"/>
                <w:b w:val="0"/>
                <w:sz w:val="24"/>
                <w:szCs w:val="24"/>
              </w:rPr>
              <w:t>-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педагогическими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комиссиями, от общего количества обучающихся с ОВЗ</w:t>
            </w:r>
          </w:p>
        </w:tc>
        <w:tc>
          <w:tcPr>
            <w:tcW w:w="3261" w:type="dxa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</w:t>
            </w:r>
          </w:p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организации</w:t>
            </w:r>
          </w:p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ФСН 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>ОО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</w:tcPr>
          <w:p w:rsid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выше уровня по Республике Карелия - 1 балл, 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ниже - 0 баллов</w:t>
            </w:r>
          </w:p>
        </w:tc>
      </w:tr>
      <w:tr w:rsidR="005B184A" w:rsidTr="000841E9">
        <w:tc>
          <w:tcPr>
            <w:tcW w:w="675" w:type="dxa"/>
            <w:vMerge w:val="restart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Объективность результатов внешней оценки</w:t>
            </w:r>
          </w:p>
        </w:tc>
        <w:tc>
          <w:tcPr>
            <w:tcW w:w="5670" w:type="dxa"/>
            <w:vAlign w:val="bottom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Доля участников образовательных отношений, удовлетворенных качеством предоставляемых услуг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3261" w:type="dxa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Министерство образования Республики Карелия</w:t>
            </w:r>
          </w:p>
        </w:tc>
        <w:tc>
          <w:tcPr>
            <w:tcW w:w="2912" w:type="dxa"/>
          </w:tcPr>
          <w:p w:rsid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выше уровня по Республике Карелия - 1 балл, 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ниже </w:t>
            </w:r>
            <w:r>
              <w:rPr>
                <w:rStyle w:val="213pt"/>
                <w:rFonts w:eastAsiaTheme="majorEastAsia"/>
                <w:b w:val="0"/>
                <w:sz w:val="24"/>
                <w:szCs w:val="24"/>
              </w:rPr>
              <w:t xml:space="preserve">-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0 баллов</w:t>
            </w:r>
          </w:p>
        </w:tc>
      </w:tr>
      <w:tr w:rsidR="005B184A" w:rsidTr="000841E9">
        <w:tc>
          <w:tcPr>
            <w:tcW w:w="675" w:type="dxa"/>
            <w:vMerge/>
          </w:tcPr>
          <w:p w:rsidR="005B184A" w:rsidRPr="001C6383" w:rsidRDefault="005B184A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B184A" w:rsidRPr="001C6383" w:rsidRDefault="005B184A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 Отсутствие признаков необъективности образовательных результатов в образовательной организации</w:t>
            </w:r>
          </w:p>
        </w:tc>
        <w:tc>
          <w:tcPr>
            <w:tcW w:w="3261" w:type="dxa"/>
            <w:vAlign w:val="bottom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Информация ФГБУ «ФИОКО», региональные и федеральные информационные системы, Министерство образования Республики Карелия</w:t>
            </w:r>
          </w:p>
        </w:tc>
        <w:tc>
          <w:tcPr>
            <w:tcW w:w="2912" w:type="dxa"/>
          </w:tcPr>
          <w:p w:rsid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 w:val="restart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5.</w:t>
            </w: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Pr="000841E9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Усло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>вия осуществления образовательно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й деятельности</w:t>
            </w: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4608" w:rsidRPr="00B01A29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1. Реализация муниципального (государственного) задания. Предоставление дошкольного,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3261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отчет органов местного самоуправления, осуществляющих управление в сфере образования</w:t>
            </w:r>
          </w:p>
        </w:tc>
        <w:tc>
          <w:tcPr>
            <w:tcW w:w="2912" w:type="dxa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100 </w:t>
            </w:r>
            <w:r w:rsidRPr="001635E0">
              <w:rPr>
                <w:rStyle w:val="295pt"/>
                <w:b w:val="0"/>
                <w:i w:val="0"/>
                <w:sz w:val="24"/>
                <w:szCs w:val="24"/>
              </w:rPr>
              <w:t>%</w:t>
            </w:r>
            <w:r w:rsidRPr="001635E0">
              <w:rPr>
                <w:rStyle w:val="213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менее 100 %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P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 Отсутствие неаккредитованных образовательных программ</w:t>
            </w:r>
          </w:p>
        </w:tc>
        <w:tc>
          <w:tcPr>
            <w:tcW w:w="3261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Данные реестра образовательных организаций, имеющих государственную аккредитацию образовательной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12" w:type="dxa"/>
            <w:vAlign w:val="bottom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 xml:space="preserve">да - 1 балл </w:t>
            </w:r>
          </w:p>
          <w:p w:rsidR="001635E0" w:rsidRPr="001635E0" w:rsidRDefault="00704608" w:rsidP="00771390">
            <w:pPr>
              <w:pStyle w:val="24"/>
              <w:shd w:val="clear" w:color="auto" w:fill="auto"/>
              <w:spacing w:before="0" w:after="66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3. Наполнение официального сайта образовательной организации в сети Интернет в соответствии с законодательством, в том числе наличие возможности обратной связи</w:t>
            </w:r>
          </w:p>
        </w:tc>
        <w:tc>
          <w:tcPr>
            <w:tcW w:w="3261" w:type="dxa"/>
            <w:vAlign w:val="bottom"/>
          </w:tcPr>
          <w:p w:rsidR="00704608" w:rsidRPr="00B01A29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 в соответствии с приказом Минобрнауки России от 22.09.2017 № 955 «Об утверждении показателей мониторинга системы образования»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-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нет 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-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4. Наличие и ведение Электронного дневника, Электронного журнала в учреждении</w:t>
            </w:r>
          </w:p>
        </w:tc>
        <w:tc>
          <w:tcPr>
            <w:tcW w:w="3261" w:type="dxa"/>
          </w:tcPr>
          <w:p w:rsidR="00704608" w:rsidRPr="001C6383" w:rsidRDefault="001635E0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t>ФСН ОО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-2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 -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нет 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-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0 баллов</w:t>
            </w:r>
          </w:p>
        </w:tc>
      </w:tr>
      <w:tr w:rsidR="00704608" w:rsidTr="000841E9">
        <w:trPr>
          <w:trHeight w:val="764"/>
        </w:trPr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Theme="majorEastAsia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5. Наличие школьного информационно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softHyphen/>
              <w:t>библиотечного центра</w:t>
            </w:r>
          </w:p>
          <w:p w:rsidR="00704608" w:rsidRP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704608" w:rsidRPr="001C6383" w:rsidRDefault="001635E0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t>ФСН ОО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-2</w:t>
            </w:r>
          </w:p>
        </w:tc>
        <w:tc>
          <w:tcPr>
            <w:tcW w:w="2912" w:type="dxa"/>
            <w:vAlign w:val="bottom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-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04608" w:rsidRPr="00B01A29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Fonts w:eastAsiaTheme="majorEastAsia"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6. Организация и контроль заполнения государственной информационной системы «Электронное образование» Республики Карелия достоверными данными в полном объеме в муниципальных образовательных организациях на муниципальном уровне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7. Обеспечение условий доступности для инвалидов объектов и предоставляемых услуг в сфере образования, а также оказания им при этом необходимой помощи в рамках Федерального закона от 1 декабря 2014 года № 419-ФЗ «О внесении изменений в отдельные законодательные акты Российской Федерации по вопросам</w:t>
            </w:r>
            <w:r w:rsidRPr="005B184A">
              <w:rPr>
                <w:rStyle w:val="a7"/>
                <w:sz w:val="24"/>
                <w:szCs w:val="24"/>
                <w:lang w:val="ru-RU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социальной защиты инвалидов в связи с ратификацией Конвенции о правах инвалидов»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Theme="majorEastAsia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нет </w:t>
            </w:r>
            <w:r>
              <w:rPr>
                <w:rStyle w:val="213pt"/>
                <w:rFonts w:eastAsiaTheme="majorEastAsia"/>
                <w:b w:val="0"/>
                <w:sz w:val="24"/>
                <w:szCs w:val="24"/>
              </w:rPr>
              <w:t xml:space="preserve">-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0 баллов</w:t>
            </w:r>
          </w:p>
        </w:tc>
      </w:tr>
      <w:tr w:rsidR="00704608" w:rsidTr="000841E9">
        <w:trPr>
          <w:trHeight w:val="1333"/>
        </w:trPr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8. Полнота внесения достоверных данных в полном объеме о выданных документах об образовании в ФИС ФРДО в муниципальных образовательных организациях на муниципальном уровне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100 %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менее 100 </w:t>
            </w:r>
            <w:r w:rsidRPr="001635E0">
              <w:rPr>
                <w:rStyle w:val="295pt"/>
                <w:b w:val="0"/>
                <w:i w:val="0"/>
                <w:sz w:val="24"/>
                <w:szCs w:val="24"/>
              </w:rPr>
              <w:t xml:space="preserve">% - </w:t>
            </w:r>
            <w:r w:rsidRPr="001635E0">
              <w:rPr>
                <w:rStyle w:val="213pt0"/>
                <w:b w:val="0"/>
                <w:i w:val="0"/>
                <w:sz w:val="24"/>
                <w:szCs w:val="24"/>
              </w:rPr>
              <w:t xml:space="preserve">0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баллов</w:t>
            </w:r>
          </w:p>
        </w:tc>
      </w:tr>
      <w:tr w:rsidR="00704608" w:rsidTr="000841E9">
        <w:tc>
          <w:tcPr>
            <w:tcW w:w="675" w:type="dxa"/>
            <w:vMerge w:val="restart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Индивидуализация обучения</w:t>
            </w: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Наличие обучающихся по программам, реализуемым с применением электронного обучения</w:t>
            </w:r>
          </w:p>
        </w:tc>
        <w:tc>
          <w:tcPr>
            <w:tcW w:w="3261" w:type="dxa"/>
          </w:tcPr>
          <w:p w:rsidR="00704608" w:rsidRPr="001C6383" w:rsidRDefault="001635E0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t>ФСН ОО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-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нет 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-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2. Наличие обучающихся по программам с применением дистанционных образовательных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3261" w:type="dxa"/>
          </w:tcPr>
          <w:p w:rsidR="00704608" w:rsidRPr="001C6383" w:rsidRDefault="001635E0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ФСН ОО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 w:val="restart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7.</w:t>
            </w: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Профориентация и ДО</w:t>
            </w: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Наличие в образовательной программе мероприятий по профильной и предпрофильной подготовке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 Наличие договоров, заключенных общеобразовательной организации с организациями СПО и ВПО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3. Реализация дополнительных общеобразовательных программ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RPr="001635E0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4. Охват детей, обучающихся по дополнительным общеобразовательным программам</w:t>
            </w:r>
          </w:p>
        </w:tc>
        <w:tc>
          <w:tcPr>
            <w:tcW w:w="3261" w:type="dxa"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2" w:type="dxa"/>
            <w:vAlign w:val="bottom"/>
          </w:tcPr>
          <w:p w:rsidR="00704608" w:rsidRP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менее 10 % - 0 баллов</w:t>
            </w:r>
          </w:p>
          <w:p w:rsidR="00704608" w:rsidRPr="001635E0" w:rsidRDefault="00B01A29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t>от 10% до 14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% -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1 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балл</w:t>
            </w:r>
          </w:p>
          <w:p w:rsidR="00704608" w:rsidRPr="001635E0" w:rsidRDefault="00B01A29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t>от 15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% до 29</w:t>
            </w:r>
            <w:r w:rsidR="00704608" w:rsidRPr="001635E0">
              <w:rPr>
                <w:rStyle w:val="295pt"/>
                <w:b w:val="0"/>
                <w:i w:val="0"/>
                <w:sz w:val="24"/>
                <w:szCs w:val="24"/>
              </w:rPr>
              <w:t>%</w:t>
            </w:r>
            <w:r w:rsidR="00704608" w:rsidRPr="001635E0">
              <w:rPr>
                <w:rStyle w:val="213pt"/>
                <w:rFonts w:eastAsia="Arial"/>
                <w:b w:val="0"/>
                <w:i/>
                <w:sz w:val="24"/>
                <w:szCs w:val="24"/>
              </w:rPr>
              <w:t xml:space="preserve"> 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</w:t>
            </w:r>
            <w:r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 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2 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балла</w:t>
            </w:r>
          </w:p>
          <w:p w:rsidR="00704608" w:rsidRP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30 % и более - 3 балла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5. Наличие обучающихся, принявших участие в мероприятиях региональных Чемпионатов WorldSkills (в качестве участников JuniorSkills, программы «Посетитель»)</w:t>
            </w:r>
          </w:p>
        </w:tc>
        <w:tc>
          <w:tcPr>
            <w:tcW w:w="3261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Региональная база данных Чемпионата WorldSkills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vAlign w:val="bottom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6. Организация и проведение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3261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отчет органов местного самоуправления, осуществляющих управление в сфере образования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  <w:vAlign w:val="bottom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7. Наличие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</w:t>
            </w:r>
            <w:r w:rsidRPr="005B184A">
              <w:rPr>
                <w:rStyle w:val="a7"/>
                <w:sz w:val="24"/>
                <w:szCs w:val="24"/>
                <w:lang w:val="ru-RU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направленных на раннюю профориентацию</w:t>
            </w:r>
          </w:p>
        </w:tc>
        <w:tc>
          <w:tcPr>
            <w:tcW w:w="3261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отчет органов местного самоуправления, осуществляющих управление в сфере образования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5B184A" w:rsidTr="000841E9">
        <w:tc>
          <w:tcPr>
            <w:tcW w:w="675" w:type="dxa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Кадровое</w:t>
            </w:r>
          </w:p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обеспечение</w:t>
            </w:r>
          </w:p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образовательной деятельности.</w:t>
            </w:r>
          </w:p>
          <w:p w:rsidR="005B184A" w:rsidRPr="001635E0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Формирование</w:t>
            </w:r>
          </w:p>
          <w:p w:rsidR="005B184A" w:rsidRPr="001635E0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кадрового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резерва</w:t>
            </w:r>
          </w:p>
        </w:tc>
        <w:tc>
          <w:tcPr>
            <w:tcW w:w="5670" w:type="dxa"/>
            <w:vAlign w:val="bottom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Укомплектованность кадрами на начало учебного года (отсутствие вакантных должностей)</w:t>
            </w:r>
          </w:p>
        </w:tc>
        <w:tc>
          <w:tcPr>
            <w:tcW w:w="3261" w:type="dxa"/>
          </w:tcPr>
          <w:p w:rsidR="005B184A" w:rsidRPr="001C6383" w:rsidRDefault="001635E0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t>ФСН ОО</w:t>
            </w:r>
            <w:r w:rsidR="005B184A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</w:tcPr>
          <w:p w:rsidR="001635E0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RPr="00B77223" w:rsidTr="000841E9">
        <w:tc>
          <w:tcPr>
            <w:tcW w:w="675" w:type="dxa"/>
            <w:vMerge w:val="restart"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2. Доля педагогических работников образовательной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организации в возрасте до 35 лет</w:t>
            </w:r>
          </w:p>
        </w:tc>
        <w:tc>
          <w:tcPr>
            <w:tcW w:w="3261" w:type="dxa"/>
          </w:tcPr>
          <w:p w:rsidR="00704608" w:rsidRPr="001C6383" w:rsidRDefault="001635E0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ФСН ОО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выше уровня по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Республике Карелия - 1 балл, ниже - 0 баллов</w:t>
            </w:r>
          </w:p>
        </w:tc>
      </w:tr>
      <w:tr w:rsidR="00704608" w:rsidRPr="00B77223" w:rsidTr="000841E9">
        <w:tc>
          <w:tcPr>
            <w:tcW w:w="675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3. Доля педагогических работников, имеющих высшую квалификационную категорию</w:t>
            </w:r>
          </w:p>
        </w:tc>
        <w:tc>
          <w:tcPr>
            <w:tcW w:w="3261" w:type="dxa"/>
          </w:tcPr>
          <w:p w:rsidR="00704608" w:rsidRPr="001C6383" w:rsidRDefault="001635E0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3pt"/>
                <w:rFonts w:eastAsia="Arial"/>
                <w:b w:val="0"/>
                <w:sz w:val="24"/>
                <w:szCs w:val="24"/>
              </w:rPr>
              <w:t>ФСН ОО</w:t>
            </w:r>
            <w:r w:rsidR="00704608"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выше уровня по Республике Карелия - 1 балл, ниже - 0 баллов</w:t>
            </w:r>
          </w:p>
        </w:tc>
      </w:tr>
      <w:tr w:rsidR="00704608" w:rsidRPr="00B77223" w:rsidTr="000841E9">
        <w:tc>
          <w:tcPr>
            <w:tcW w:w="675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4. Доля педагогических работников, имеющих первую квалификационную категорию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ФСН 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>ОО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выше уровня по Республике Карелия - 1 балл, ниже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Pr="005B184A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5. Наличие педагогических работников, имеющих ученую степень/ученое звание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ФСН 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>ОО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-1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6. Участие педагогических работников в конкурсах педагогического мастерства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5B184A" w:rsidTr="000841E9">
        <w:tc>
          <w:tcPr>
            <w:tcW w:w="675" w:type="dxa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B184A" w:rsidRPr="005B184A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Показатели квалификации в области управления</w:t>
            </w:r>
          </w:p>
        </w:tc>
        <w:tc>
          <w:tcPr>
            <w:tcW w:w="5670" w:type="dxa"/>
            <w:vAlign w:val="bottom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Наличие у руководителя образовательной организации дополнительного профессионального образования по направлению «Менеджмент образовательной организации»</w:t>
            </w:r>
          </w:p>
        </w:tc>
        <w:tc>
          <w:tcPr>
            <w:tcW w:w="3261" w:type="dxa"/>
          </w:tcPr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-1 балл </w:t>
            </w:r>
          </w:p>
          <w:p w:rsidR="005B184A" w:rsidRPr="001C6383" w:rsidRDefault="005B184A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 w:val="restart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Качество и компетенции руководящих работников</w:t>
            </w: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Наличие у руководящих работников ученой степени/ученого звания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 Участие руководителей в конкурсах профессионального педагогического мастерства, курсах повышения квалификации по вопросам управления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 w:val="restart"/>
          </w:tcPr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center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11.</w:t>
            </w: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Неэффективные показатели или показатели с негативными последствиями</w:t>
            </w: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1. Отсутствие фактов нарушения законодательства Российской Федерации (предписаний надзорных органов)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2. Отсутствие обоснованных обращений работников, обучающихся общеобразовательной организации, их родителей (законных представителей), иных лиц, свидетельствующих о неправомерных действиях или бездействии со стороны должностных лиц образовательной организации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3. Отсутствие случаев травматизма (несчастных случаев) с обучающимися и работниками во время образовательного процесса и проводимых мероприятий, отсутствие групповых инфекционных заболеваний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4608" w:rsidRPr="001C6383" w:rsidRDefault="00704608" w:rsidP="0077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4. Отсутствие преступлений и правонарушений,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совершенных детьми в период реализации образовательных</w:t>
            </w:r>
            <w:r w:rsidRPr="005B184A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программ и проводимых мероприятий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 xml:space="preserve">данные образовательной 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lastRenderedPageBreak/>
              <w:t>нет - 0 баллов</w:t>
            </w:r>
          </w:p>
        </w:tc>
      </w:tr>
      <w:tr w:rsidR="00704608" w:rsidTr="000841E9">
        <w:tc>
          <w:tcPr>
            <w:tcW w:w="675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704608" w:rsidRDefault="00704608" w:rsidP="00771390">
            <w:pPr>
              <w:jc w:val="both"/>
              <w:rPr>
                <w:lang w:val="ru-RU"/>
              </w:rPr>
            </w:pPr>
          </w:p>
        </w:tc>
        <w:tc>
          <w:tcPr>
            <w:tcW w:w="5670" w:type="dxa"/>
          </w:tcPr>
          <w:p w:rsidR="00704608" w:rsidRPr="005B184A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5. Отсутствие рейтингов, оценки деятельности педагогов по результатам оценочн</w:t>
            </w:r>
            <w:r w:rsidR="001635E0">
              <w:rPr>
                <w:rStyle w:val="213pt"/>
                <w:rFonts w:eastAsia="Arial"/>
                <w:b w:val="0"/>
                <w:sz w:val="24"/>
                <w:szCs w:val="24"/>
              </w:rPr>
              <w:t>ых процедур (ЕГЭ, ОГЭ, ВПР и ДР</w:t>
            </w: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данные образовательной организации</w:t>
            </w:r>
          </w:p>
        </w:tc>
        <w:tc>
          <w:tcPr>
            <w:tcW w:w="2912" w:type="dxa"/>
          </w:tcPr>
          <w:p w:rsidR="001635E0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rStyle w:val="213pt"/>
                <w:rFonts w:eastAsia="Arial"/>
                <w:b w:val="0"/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 xml:space="preserve">да - 1 балл </w:t>
            </w:r>
          </w:p>
          <w:p w:rsidR="00704608" w:rsidRPr="001C6383" w:rsidRDefault="00704608" w:rsidP="00771390">
            <w:pPr>
              <w:pStyle w:val="2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C6383">
              <w:rPr>
                <w:rStyle w:val="213pt"/>
                <w:rFonts w:eastAsia="Arial"/>
                <w:b w:val="0"/>
                <w:sz w:val="24"/>
                <w:szCs w:val="24"/>
              </w:rPr>
              <w:t>нет - 0 баллов</w:t>
            </w:r>
          </w:p>
        </w:tc>
      </w:tr>
    </w:tbl>
    <w:p w:rsidR="00704608" w:rsidRDefault="00704608">
      <w:pPr>
        <w:rPr>
          <w:lang w:val="ru-RU"/>
        </w:rPr>
      </w:pPr>
    </w:p>
    <w:p w:rsidR="00771390" w:rsidRPr="00771390" w:rsidRDefault="00771390" w:rsidP="00771390">
      <w:pPr>
        <w:spacing w:after="308" w:line="240" w:lineRule="auto"/>
        <w:ind w:left="20"/>
        <w:jc w:val="center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lang w:val="ru-RU" w:eastAsia="ru-RU" w:bidi="ru-RU"/>
        </w:rPr>
        <w:t>Методика анализа эффективности деятельности руководителей</w:t>
      </w:r>
      <w:r w:rsidRPr="00771390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lang w:val="ru-RU" w:eastAsia="ru-RU" w:bidi="ru-RU"/>
        </w:rPr>
        <w:br/>
        <w:t>муниципальных общеобразовательных организаций, расположенных на территории Беломорского муниципального района</w:t>
      </w:r>
    </w:p>
    <w:p w:rsidR="00771390" w:rsidRPr="00771390" w:rsidRDefault="00771390" w:rsidP="00771390">
      <w:pPr>
        <w:widowControl w:val="0"/>
        <w:tabs>
          <w:tab w:val="left" w:pos="1088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>1. Оценка эффективности деятельности осуществляется в соответствии с установленными критериями оценки эффективности деятельности и учитывает специфику образовательной организации по типам организаций.</w:t>
      </w:r>
    </w:p>
    <w:p w:rsidR="00771390" w:rsidRPr="00771390" w:rsidRDefault="00771390" w:rsidP="00771390">
      <w:pPr>
        <w:widowControl w:val="0"/>
        <w:tabs>
          <w:tab w:val="left" w:pos="1093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>2. Для обеспечения корректного сравнения эффективности руководителей общеобразовательных организаций, расположенных на территории Беломорского муниципального района, общеобразовательные организации градируются в соответствии с численностью обучающихся по следующим группам:</w:t>
      </w:r>
    </w:p>
    <w:p w:rsidR="00771390" w:rsidRPr="00771390" w:rsidRDefault="00771390" w:rsidP="0077139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 xml:space="preserve"> 1- я группа - ОО с количеством классов-комплектов до 11;</w:t>
      </w:r>
    </w:p>
    <w:p w:rsidR="00771390" w:rsidRPr="00771390" w:rsidRDefault="00771390" w:rsidP="00771390">
      <w:pPr>
        <w:widowControl w:val="0"/>
        <w:tabs>
          <w:tab w:val="left" w:pos="1161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 xml:space="preserve"> 2-я группа - ОО с количеством классов-комплектов от 12 до 23;</w:t>
      </w:r>
    </w:p>
    <w:p w:rsidR="00771390" w:rsidRPr="00771390" w:rsidRDefault="00771390" w:rsidP="00771390">
      <w:pPr>
        <w:widowControl w:val="0"/>
        <w:tabs>
          <w:tab w:val="left" w:pos="1166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 xml:space="preserve"> 3-я группа - ОО с количеством классов-комплектов от 24 до 43;</w:t>
      </w:r>
    </w:p>
    <w:p w:rsidR="00771390" w:rsidRPr="00771390" w:rsidRDefault="00771390" w:rsidP="0077139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>При отсутствии значений отдельных показателей у ОО (например, отсутствие обучающихся с ограниченными возможностями здоровья (далее - ОВЗ), с инвалидностью) возможным будет использование максимального значения показателя (Данное положение не относится к неаккредитованным образовательным программам).</w:t>
      </w:r>
    </w:p>
    <w:p w:rsidR="00771390" w:rsidRPr="00771390" w:rsidRDefault="00771390" w:rsidP="00771390">
      <w:pPr>
        <w:widowControl w:val="0"/>
        <w:tabs>
          <w:tab w:val="left" w:pos="1097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>3. Для каждого показателя устанавливается максимально возможное значение. В случае если показатель имеет негативную окраску, то присвоение баллов осуществляется в обратном порядке. В дихотомических вопросах (вопросах, в которых предусмотрены варианты ответа «да/нет») максимальный балл показателю присваивается при ответе «да», 0 баллов - при ответе «нет».</w:t>
      </w:r>
    </w:p>
    <w:p w:rsidR="00771390" w:rsidRPr="00771390" w:rsidRDefault="00771390" w:rsidP="00771390">
      <w:pPr>
        <w:widowControl w:val="0"/>
        <w:tabs>
          <w:tab w:val="left" w:pos="1015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>4. Значение среднего показателя по Республике Карелия рассчитывается Министерством образования Республики Карелия один раз в год (в конце года) и размещается на официальном сайте в информационно-телекоммуникационной сети «Интернет».</w:t>
      </w:r>
    </w:p>
    <w:p w:rsidR="00771390" w:rsidRPr="00771390" w:rsidRDefault="00771390" w:rsidP="00771390">
      <w:pPr>
        <w:widowControl w:val="0"/>
        <w:tabs>
          <w:tab w:val="left" w:pos="1015"/>
        </w:tabs>
        <w:spacing w:after="0" w:line="240" w:lineRule="auto"/>
        <w:ind w:firstLine="851"/>
        <w:jc w:val="both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 w:rsidRPr="0077139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lang w:val="ru-RU" w:eastAsia="ru-RU" w:bidi="ru-RU"/>
        </w:rPr>
        <w:t>5. Итоговая оценка складывается из суммы баллов, перечень показателей и максимальное значение по каждому показателю определяются учредителем общеобразовательной организации самостоятельно.</w:t>
      </w:r>
    </w:p>
    <w:p w:rsidR="00771390" w:rsidRPr="00771390" w:rsidRDefault="00771390" w:rsidP="00771390">
      <w:pPr>
        <w:framePr w:w="15034" w:wrap="notBeside" w:vAnchor="text" w:hAnchor="text" w:xAlign="center" w:y="1"/>
        <w:spacing w:line="240" w:lineRule="auto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lang w:val="ru-RU" w:eastAsia="ru-RU" w:bidi="ru-RU"/>
        </w:rPr>
        <w:lastRenderedPageBreak/>
        <w:t>Расчет</w:t>
      </w:r>
      <w:r w:rsidRPr="00771390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lang w:val="ru-RU" w:eastAsia="ru-RU" w:bidi="ru-RU"/>
        </w:rPr>
        <w:t xml:space="preserve"> итоговой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62"/>
        <w:gridCol w:w="9672"/>
      </w:tblGrid>
      <w:tr w:rsidR="00771390" w:rsidRPr="00771390" w:rsidTr="00BD2DF1">
        <w:trPr>
          <w:trHeight w:hRule="exact" w:val="68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Итоговая оценка эффективности учреждения (балл)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372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Уровень эффективности</w:t>
            </w:r>
          </w:p>
        </w:tc>
      </w:tr>
      <w:tr w:rsidR="00771390" w:rsidRPr="00B77223" w:rsidTr="00BD2DF1">
        <w:trPr>
          <w:trHeight w:hRule="exact" w:val="341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48-38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высокая степень эффективности, оценка «отлично»</w:t>
            </w:r>
          </w:p>
        </w:tc>
      </w:tr>
      <w:tr w:rsidR="00771390" w:rsidRPr="00B77223" w:rsidTr="00BD2DF1">
        <w:trPr>
          <w:trHeight w:hRule="exact" w:val="331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37-25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выше средней степени эффективности, оценка «хорошо»</w:t>
            </w:r>
          </w:p>
        </w:tc>
      </w:tr>
      <w:tr w:rsidR="00771390" w:rsidRPr="00B77223" w:rsidTr="00BD2DF1">
        <w:trPr>
          <w:trHeight w:hRule="exact" w:val="336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24-15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средняя степень эффективности, оценка «удовлетворительно»</w:t>
            </w:r>
          </w:p>
        </w:tc>
      </w:tr>
      <w:tr w:rsidR="00771390" w:rsidRPr="00B77223" w:rsidTr="00BD2DF1">
        <w:trPr>
          <w:trHeight w:hRule="exact" w:val="37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14-0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390" w:rsidRPr="00771390" w:rsidRDefault="00771390" w:rsidP="00771390">
            <w:pPr>
              <w:framePr w:w="15034" w:wrap="notBeside" w:vAnchor="text" w:hAnchor="text" w:xAlign="center" w:y="1"/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771390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hd w:val="clear" w:color="auto" w:fill="FFFFFF"/>
                <w:lang w:val="ru-RU" w:eastAsia="ru-RU" w:bidi="ru-RU"/>
              </w:rPr>
              <w:t>низкая степень эффективности, оценка «неудовлетворительно»</w:t>
            </w:r>
          </w:p>
        </w:tc>
      </w:tr>
    </w:tbl>
    <w:p w:rsidR="00704608" w:rsidRDefault="00704608" w:rsidP="00771390">
      <w:pPr>
        <w:spacing w:line="240" w:lineRule="auto"/>
        <w:rPr>
          <w:lang w:val="ru-RU"/>
        </w:rPr>
      </w:pPr>
    </w:p>
    <w:p w:rsidR="00704608" w:rsidRPr="00C56CE2" w:rsidRDefault="00C56CE2" w:rsidP="00C56CE2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6CE2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E80DB0" w:rsidRDefault="00E80DB0">
      <w:pPr>
        <w:rPr>
          <w:lang w:val="ru-RU"/>
        </w:rPr>
      </w:pPr>
    </w:p>
    <w:p w:rsidR="00E80DB0" w:rsidRDefault="00E80DB0">
      <w:pPr>
        <w:rPr>
          <w:lang w:val="ru-RU"/>
        </w:rPr>
      </w:pPr>
    </w:p>
    <w:p w:rsidR="00E80DB0" w:rsidRDefault="00E80DB0">
      <w:pPr>
        <w:rPr>
          <w:lang w:val="ru-RU"/>
        </w:rPr>
      </w:pPr>
    </w:p>
    <w:p w:rsidR="00E80DB0" w:rsidRDefault="00E80DB0">
      <w:pPr>
        <w:rPr>
          <w:lang w:val="ru-RU"/>
        </w:rPr>
      </w:pPr>
    </w:p>
    <w:p w:rsidR="00E80DB0" w:rsidRDefault="00E80DB0">
      <w:pPr>
        <w:rPr>
          <w:lang w:val="ru-RU"/>
        </w:rPr>
      </w:pPr>
    </w:p>
    <w:p w:rsidR="00E80DB0" w:rsidRDefault="00E80DB0">
      <w:pPr>
        <w:rPr>
          <w:lang w:val="ru-RU"/>
        </w:rPr>
      </w:pPr>
    </w:p>
    <w:p w:rsidR="007807BE" w:rsidRPr="005B184A" w:rsidRDefault="007807BE">
      <w:pPr>
        <w:rPr>
          <w:lang w:val="ru-RU"/>
        </w:rPr>
      </w:pPr>
    </w:p>
    <w:sectPr w:rsidR="007807BE" w:rsidRPr="005B184A" w:rsidSect="00B77223"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6AE" w:rsidRDefault="00EE06AE" w:rsidP="005B184A">
      <w:pPr>
        <w:spacing w:after="0" w:line="240" w:lineRule="auto"/>
      </w:pPr>
      <w:r>
        <w:separator/>
      </w:r>
    </w:p>
  </w:endnote>
  <w:endnote w:type="continuationSeparator" w:id="1">
    <w:p w:rsidR="00EE06AE" w:rsidRDefault="00EE06AE" w:rsidP="005B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6AE" w:rsidRDefault="00EE06AE" w:rsidP="005B184A">
      <w:pPr>
        <w:spacing w:after="0" w:line="240" w:lineRule="auto"/>
      </w:pPr>
      <w:r>
        <w:separator/>
      </w:r>
    </w:p>
  </w:footnote>
  <w:footnote w:type="continuationSeparator" w:id="1">
    <w:p w:rsidR="00EE06AE" w:rsidRDefault="00EE06AE" w:rsidP="005B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BF6"/>
    <w:multiLevelType w:val="multilevel"/>
    <w:tmpl w:val="C494E3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B184A"/>
    <w:rsid w:val="000528D5"/>
    <w:rsid w:val="000841E9"/>
    <w:rsid w:val="00086F2F"/>
    <w:rsid w:val="001635E0"/>
    <w:rsid w:val="00281446"/>
    <w:rsid w:val="004776CB"/>
    <w:rsid w:val="00492ADF"/>
    <w:rsid w:val="004C2B23"/>
    <w:rsid w:val="005B184A"/>
    <w:rsid w:val="005E102D"/>
    <w:rsid w:val="00615CFD"/>
    <w:rsid w:val="00704608"/>
    <w:rsid w:val="0076593D"/>
    <w:rsid w:val="00771390"/>
    <w:rsid w:val="007807BE"/>
    <w:rsid w:val="007A3D93"/>
    <w:rsid w:val="00827E88"/>
    <w:rsid w:val="00854F02"/>
    <w:rsid w:val="009166CC"/>
    <w:rsid w:val="00963F97"/>
    <w:rsid w:val="009A53F5"/>
    <w:rsid w:val="009A63C9"/>
    <w:rsid w:val="00A91826"/>
    <w:rsid w:val="00B01A29"/>
    <w:rsid w:val="00B24099"/>
    <w:rsid w:val="00B500DD"/>
    <w:rsid w:val="00B77223"/>
    <w:rsid w:val="00B862CB"/>
    <w:rsid w:val="00B97E98"/>
    <w:rsid w:val="00BB3931"/>
    <w:rsid w:val="00BB54E7"/>
    <w:rsid w:val="00C47D11"/>
    <w:rsid w:val="00C56CE2"/>
    <w:rsid w:val="00C757E8"/>
    <w:rsid w:val="00C97E0C"/>
    <w:rsid w:val="00CD4222"/>
    <w:rsid w:val="00D03AE6"/>
    <w:rsid w:val="00DF055A"/>
    <w:rsid w:val="00E80DB0"/>
    <w:rsid w:val="00EE06AE"/>
    <w:rsid w:val="00EE6879"/>
    <w:rsid w:val="00F1028D"/>
    <w:rsid w:val="00FD370D"/>
    <w:rsid w:val="00FD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14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4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814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814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814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4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4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814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814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814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144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14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814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Body Text"/>
    <w:basedOn w:val="a"/>
    <w:link w:val="a7"/>
    <w:uiPriority w:val="1"/>
    <w:qFormat/>
    <w:rsid w:val="00281446"/>
    <w:rPr>
      <w:rFonts w:ascii="Arial" w:eastAsia="Arial" w:hAnsi="Arial" w:cs="Arial"/>
      <w:sz w:val="114"/>
      <w:szCs w:val="114"/>
    </w:rPr>
  </w:style>
  <w:style w:type="character" w:customStyle="1" w:styleId="a7">
    <w:name w:val="Основной текст Знак"/>
    <w:basedOn w:val="a0"/>
    <w:link w:val="a6"/>
    <w:uiPriority w:val="1"/>
    <w:rsid w:val="00281446"/>
    <w:rPr>
      <w:rFonts w:ascii="Arial" w:eastAsia="Arial" w:hAnsi="Arial" w:cs="Arial"/>
      <w:i/>
      <w:iCs/>
      <w:sz w:val="114"/>
      <w:szCs w:val="114"/>
    </w:rPr>
  </w:style>
  <w:style w:type="paragraph" w:styleId="a8">
    <w:name w:val="Subtitle"/>
    <w:basedOn w:val="a"/>
    <w:next w:val="a"/>
    <w:link w:val="a9"/>
    <w:uiPriority w:val="11"/>
    <w:qFormat/>
    <w:rsid w:val="002814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814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281446"/>
    <w:rPr>
      <w:b/>
      <w:bCs/>
      <w:spacing w:val="0"/>
    </w:rPr>
  </w:style>
  <w:style w:type="character" w:styleId="ab">
    <w:name w:val="Emphasis"/>
    <w:uiPriority w:val="20"/>
    <w:qFormat/>
    <w:rsid w:val="002814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28144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814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144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8144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2814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2814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2814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2814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28144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28144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2814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81446"/>
    <w:pPr>
      <w:outlineLvl w:val="9"/>
    </w:pPr>
  </w:style>
  <w:style w:type="table" w:styleId="af6">
    <w:name w:val="Table Grid"/>
    <w:basedOn w:val="a1"/>
    <w:uiPriority w:val="59"/>
    <w:rsid w:val="005B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5B1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B184A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5B1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B184A"/>
    <w:rPr>
      <w:i/>
      <w:iCs/>
      <w:sz w:val="20"/>
      <w:szCs w:val="20"/>
    </w:rPr>
  </w:style>
  <w:style w:type="character" w:customStyle="1" w:styleId="23">
    <w:name w:val="Основной текст (2)_"/>
    <w:basedOn w:val="a0"/>
    <w:link w:val="24"/>
    <w:rsid w:val="005B18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3"/>
    <w:rsid w:val="005B184A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5B184A"/>
    <w:pPr>
      <w:widowControl w:val="0"/>
      <w:shd w:val="clear" w:color="auto" w:fill="FFFFFF"/>
      <w:spacing w:before="1200" w:after="0" w:line="317" w:lineRule="exact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2CordiaUPC19pt">
    <w:name w:val="Основной текст (2) + CordiaUPC;19 pt;Полужирный"/>
    <w:basedOn w:val="23"/>
    <w:rsid w:val="005B184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3"/>
    <w:rsid w:val="005B184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3"/>
    <w:rsid w:val="005B184A"/>
    <w:rPr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0">
    <w:name w:val="Основной текст (2) + 13 pt;Полужирный;Курсив"/>
    <w:basedOn w:val="23"/>
    <w:rsid w:val="005B184A"/>
    <w:rPr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704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C453-EE81-45CD-9FF7-B306ACBF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Котинова Е Г</dc:creator>
  <cp:lastModifiedBy>Светлана</cp:lastModifiedBy>
  <cp:revision>2</cp:revision>
  <dcterms:created xsi:type="dcterms:W3CDTF">2020-11-16T10:59:00Z</dcterms:created>
  <dcterms:modified xsi:type="dcterms:W3CDTF">2020-11-16T10:59:00Z</dcterms:modified>
</cp:coreProperties>
</file>